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DA" w:rsidRPr="009D7DDA" w:rsidRDefault="009D7DDA" w:rsidP="009D7DD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D7DD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Каким должен быть бухгалтер ИП, оказывающего услуги в сфере ведения бухучета</w:t>
      </w:r>
    </w:p>
    <w:p w:rsidR="009D7DDA" w:rsidRPr="009D7DDA" w:rsidRDefault="009D7DDA" w:rsidP="009D7DDA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7DDA">
        <w:rPr>
          <w:rFonts w:ascii="Arial" w:eastAsia="Times New Roman" w:hAnsi="Arial" w:cs="Arial"/>
          <w:color w:val="333333"/>
          <w:sz w:val="21"/>
          <w:szCs w:val="21"/>
        </w:rPr>
        <w:t>В письме от 19.05.2017 №</w:t>
      </w:r>
      <w:r w:rsidRPr="009D7DDA">
        <w:rPr>
          <w:rFonts w:ascii="Arial" w:eastAsia="Times New Roman" w:hAnsi="Arial" w:cs="Arial"/>
          <w:color w:val="333333"/>
          <w:sz w:val="21"/>
        </w:rPr>
        <w:t> </w:t>
      </w:r>
      <w:hyperlink r:id="rId5" w:tgtFrame="_blank" w:history="1">
        <w:r w:rsidRPr="009D7DDA">
          <w:rPr>
            <w:rFonts w:ascii="Arial" w:eastAsia="Times New Roman" w:hAnsi="Arial" w:cs="Arial"/>
            <w:color w:val="428BCA"/>
            <w:sz w:val="21"/>
          </w:rPr>
          <w:t>03-02-08/30885</w:t>
        </w:r>
      </w:hyperlink>
      <w:r w:rsidRPr="009D7DDA">
        <w:rPr>
          <w:rFonts w:ascii="Arial" w:eastAsia="Times New Roman" w:hAnsi="Arial" w:cs="Arial"/>
          <w:color w:val="333333"/>
          <w:sz w:val="21"/>
        </w:rPr>
        <w:t> </w:t>
      </w:r>
      <w:r w:rsidRPr="009D7DDA">
        <w:rPr>
          <w:rFonts w:ascii="Arial" w:eastAsia="Times New Roman" w:hAnsi="Arial" w:cs="Arial"/>
          <w:color w:val="333333"/>
          <w:sz w:val="21"/>
          <w:szCs w:val="21"/>
        </w:rPr>
        <w:t>Минфин рассмотрел вопрос о требованиях, предъявляемых в соответствии с законом о бухучете к бухгалтеру ИП, занимающегося оказанием услуг в сфере бухучета.</w:t>
      </w:r>
    </w:p>
    <w:p w:rsidR="009D7DDA" w:rsidRPr="009D7DDA" w:rsidRDefault="009D7DDA" w:rsidP="009D7DDA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7DDA">
        <w:rPr>
          <w:rFonts w:ascii="Arial" w:eastAsia="Times New Roman" w:hAnsi="Arial" w:cs="Arial"/>
          <w:color w:val="333333"/>
          <w:sz w:val="21"/>
          <w:szCs w:val="21"/>
        </w:rPr>
        <w:t>Чиновники полагают, что условия, предусмотренные частью 6 статьи 7 закона от 06.12.2011 N 402-ФЗ "О бухгалтерском учете", могут быть применены к индивидуальному предпринимателю, имеющему не менее одного работника, отвечающего требованиям части 4 указанной статьи, с которым заключен</w:t>
      </w:r>
      <w:r w:rsidRPr="009D7DDA">
        <w:rPr>
          <w:rFonts w:ascii="Arial" w:eastAsia="Times New Roman" w:hAnsi="Arial" w:cs="Arial"/>
          <w:color w:val="333333"/>
          <w:sz w:val="21"/>
        </w:rPr>
        <w:t> </w:t>
      </w:r>
      <w:hyperlink r:id="rId6" w:tooltip="трудовой договор (определение, описание, подробности)" w:history="1">
        <w:r w:rsidRPr="009D7DDA">
          <w:rPr>
            <w:rFonts w:ascii="Arial" w:eastAsia="Times New Roman" w:hAnsi="Arial" w:cs="Arial"/>
            <w:color w:val="428BCA"/>
            <w:sz w:val="21"/>
          </w:rPr>
          <w:t>трудовой договор</w:t>
        </w:r>
      </w:hyperlink>
      <w:r w:rsidRPr="009D7DD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D7DDA" w:rsidRPr="009D7DDA" w:rsidRDefault="009D7DDA" w:rsidP="009D7DDA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7DDA">
        <w:rPr>
          <w:rFonts w:ascii="Arial" w:eastAsia="Times New Roman" w:hAnsi="Arial" w:cs="Arial"/>
          <w:color w:val="333333"/>
          <w:sz w:val="21"/>
          <w:szCs w:val="21"/>
        </w:rPr>
        <w:t xml:space="preserve">Поясним: согласно части 6 данной статьи </w:t>
      </w:r>
      <w:proofErr w:type="spellStart"/>
      <w:r w:rsidRPr="009D7DDA">
        <w:rPr>
          <w:rFonts w:ascii="Arial" w:eastAsia="Times New Roman" w:hAnsi="Arial" w:cs="Arial"/>
          <w:color w:val="333333"/>
          <w:sz w:val="21"/>
          <w:szCs w:val="21"/>
        </w:rPr>
        <w:t>физлицо</w:t>
      </w:r>
      <w:proofErr w:type="spellEnd"/>
      <w:r w:rsidRPr="009D7DDA">
        <w:rPr>
          <w:rFonts w:ascii="Arial" w:eastAsia="Times New Roman" w:hAnsi="Arial" w:cs="Arial"/>
          <w:color w:val="333333"/>
          <w:sz w:val="21"/>
          <w:szCs w:val="21"/>
        </w:rPr>
        <w:t xml:space="preserve">, с которым экономический субъект заключает договор об оказании услуг по ведению бухучета, должно соответствовать требованиям, установленным частью 4 этой же статьи. </w:t>
      </w:r>
      <w:proofErr w:type="gramStart"/>
      <w:r w:rsidRPr="009D7DDA">
        <w:rPr>
          <w:rFonts w:ascii="Arial" w:eastAsia="Times New Roman" w:hAnsi="Arial" w:cs="Arial"/>
          <w:color w:val="333333"/>
          <w:sz w:val="21"/>
          <w:szCs w:val="21"/>
        </w:rPr>
        <w:t xml:space="preserve">В ней указано, что в ОАО (за исключением кредитных организаций), страховых организациях и НПФ, акционерных </w:t>
      </w:r>
      <w:proofErr w:type="spellStart"/>
      <w:r w:rsidRPr="009D7DDA">
        <w:rPr>
          <w:rFonts w:ascii="Arial" w:eastAsia="Times New Roman" w:hAnsi="Arial" w:cs="Arial"/>
          <w:color w:val="333333"/>
          <w:sz w:val="21"/>
          <w:szCs w:val="21"/>
        </w:rPr>
        <w:t>инвестфондах</w:t>
      </w:r>
      <w:proofErr w:type="spellEnd"/>
      <w:r w:rsidRPr="009D7DDA">
        <w:rPr>
          <w:rFonts w:ascii="Arial" w:eastAsia="Times New Roman" w:hAnsi="Arial" w:cs="Arial"/>
          <w:color w:val="333333"/>
          <w:sz w:val="21"/>
          <w:szCs w:val="21"/>
        </w:rPr>
        <w:t xml:space="preserve">, управляющих компаниях </w:t>
      </w:r>
      <w:proofErr w:type="spellStart"/>
      <w:r w:rsidRPr="009D7DDA">
        <w:rPr>
          <w:rFonts w:ascii="Arial" w:eastAsia="Times New Roman" w:hAnsi="Arial" w:cs="Arial"/>
          <w:color w:val="333333"/>
          <w:sz w:val="21"/>
          <w:szCs w:val="21"/>
        </w:rPr>
        <w:t>ПИФов</w:t>
      </w:r>
      <w:proofErr w:type="spellEnd"/>
      <w:r w:rsidRPr="009D7DDA">
        <w:rPr>
          <w:rFonts w:ascii="Arial" w:eastAsia="Times New Roman" w:hAnsi="Arial" w:cs="Arial"/>
          <w:color w:val="333333"/>
          <w:sz w:val="21"/>
          <w:szCs w:val="21"/>
        </w:rPr>
        <w:t>, в иных экономических субъектах, ценные бумаги которых допущены к обращению на организованных торгах (за исключением кредитных организаций), некоторых других структурах</w:t>
      </w:r>
      <w:r w:rsidRPr="009D7DDA">
        <w:rPr>
          <w:rFonts w:ascii="Arial" w:eastAsia="Times New Roman" w:hAnsi="Arial" w:cs="Arial"/>
          <w:color w:val="333333"/>
          <w:sz w:val="21"/>
        </w:rPr>
        <w:t> </w:t>
      </w:r>
      <w:hyperlink r:id="rId7" w:tooltip="главный бухгалтер (определение, описание, подробности)" w:history="1">
        <w:r w:rsidRPr="009D7DDA">
          <w:rPr>
            <w:rFonts w:ascii="Arial" w:eastAsia="Times New Roman" w:hAnsi="Arial" w:cs="Arial"/>
            <w:color w:val="428BCA"/>
            <w:sz w:val="21"/>
          </w:rPr>
          <w:t>главный бухгалтер</w:t>
        </w:r>
      </w:hyperlink>
      <w:r w:rsidRPr="009D7DDA">
        <w:rPr>
          <w:rFonts w:ascii="Arial" w:eastAsia="Times New Roman" w:hAnsi="Arial" w:cs="Arial"/>
          <w:color w:val="333333"/>
          <w:sz w:val="21"/>
        </w:rPr>
        <w:t> </w:t>
      </w:r>
      <w:r w:rsidRPr="009D7DDA">
        <w:rPr>
          <w:rFonts w:ascii="Arial" w:eastAsia="Times New Roman" w:hAnsi="Arial" w:cs="Arial"/>
          <w:color w:val="333333"/>
          <w:sz w:val="21"/>
          <w:szCs w:val="21"/>
        </w:rPr>
        <w:t>или иное должностное лицо, на которое возлагается ведение бухучета, должны отвечать следующим требованиям:</w:t>
      </w:r>
      <w:proofErr w:type="gramEnd"/>
    </w:p>
    <w:p w:rsidR="009D7DDA" w:rsidRPr="009D7DDA" w:rsidRDefault="009D7DDA" w:rsidP="009D7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7DDA">
        <w:rPr>
          <w:rFonts w:ascii="Arial" w:eastAsia="Times New Roman" w:hAnsi="Arial" w:cs="Arial"/>
          <w:color w:val="333333"/>
          <w:sz w:val="21"/>
          <w:szCs w:val="21"/>
        </w:rPr>
        <w:t>иметь высшее образование;</w:t>
      </w:r>
    </w:p>
    <w:p w:rsidR="009D7DDA" w:rsidRPr="009D7DDA" w:rsidRDefault="009D7DDA" w:rsidP="009D7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7DDA">
        <w:rPr>
          <w:rFonts w:ascii="Arial" w:eastAsia="Times New Roman" w:hAnsi="Arial" w:cs="Arial"/>
          <w:color w:val="333333"/>
          <w:sz w:val="21"/>
          <w:szCs w:val="21"/>
        </w:rPr>
        <w:t>иметь стаж работы, связанной с ведением бухучета,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</w:r>
    </w:p>
    <w:p w:rsidR="009D7DDA" w:rsidRPr="009D7DDA" w:rsidRDefault="009D7DDA" w:rsidP="009D7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7DDA">
        <w:rPr>
          <w:rFonts w:ascii="Arial" w:eastAsia="Times New Roman" w:hAnsi="Arial" w:cs="Arial"/>
          <w:color w:val="333333"/>
          <w:sz w:val="21"/>
          <w:szCs w:val="21"/>
        </w:rPr>
        <w:t>не иметь неснятой или непогашенной судимости за преступления в сфере экономики.</w:t>
      </w:r>
    </w:p>
    <w:p w:rsidR="009D7DDA" w:rsidRPr="009D7DDA" w:rsidRDefault="009D7DDA" w:rsidP="009D7DDA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7DDA">
        <w:rPr>
          <w:rFonts w:ascii="Arial" w:eastAsia="Times New Roman" w:hAnsi="Arial" w:cs="Arial"/>
          <w:color w:val="333333"/>
          <w:sz w:val="21"/>
          <w:szCs w:val="21"/>
        </w:rPr>
        <w:t xml:space="preserve">Вывод, который можно сделать из пояснений Минфина, зависит от того, что именно ведомство имело в виду под "условиями,  предусмотренными частью 6 статьи 7", и что - под их применением. Вероятно, чиновники считают, что ИП, хотя бы один </w:t>
      </w:r>
      <w:proofErr w:type="gramStart"/>
      <w:r w:rsidRPr="009D7DDA">
        <w:rPr>
          <w:rFonts w:ascii="Arial" w:eastAsia="Times New Roman" w:hAnsi="Arial" w:cs="Arial"/>
          <w:color w:val="333333"/>
          <w:sz w:val="21"/>
          <w:szCs w:val="21"/>
        </w:rPr>
        <w:t>работник</w:t>
      </w:r>
      <w:proofErr w:type="gramEnd"/>
      <w:r w:rsidRPr="009D7DDA">
        <w:rPr>
          <w:rFonts w:ascii="Arial" w:eastAsia="Times New Roman" w:hAnsi="Arial" w:cs="Arial"/>
          <w:color w:val="333333"/>
          <w:sz w:val="21"/>
          <w:szCs w:val="21"/>
        </w:rPr>
        <w:t xml:space="preserve"> которого отвечает указанным требованиям, вправе оказывать услуги по ведению бухучета. Но при этом нельзя полностью исключать, что и сам ИП должен отвечать </w:t>
      </w:r>
      <w:proofErr w:type="gramStart"/>
      <w:r w:rsidRPr="009D7DDA">
        <w:rPr>
          <w:rFonts w:ascii="Arial" w:eastAsia="Times New Roman" w:hAnsi="Arial" w:cs="Arial"/>
          <w:color w:val="333333"/>
          <w:sz w:val="21"/>
          <w:szCs w:val="21"/>
        </w:rPr>
        <w:t>тем</w:t>
      </w:r>
      <w:proofErr w:type="gramEnd"/>
      <w:r w:rsidRPr="009D7DDA">
        <w:rPr>
          <w:rFonts w:ascii="Arial" w:eastAsia="Times New Roman" w:hAnsi="Arial" w:cs="Arial"/>
          <w:color w:val="333333"/>
          <w:sz w:val="21"/>
          <w:szCs w:val="21"/>
        </w:rPr>
        <w:t xml:space="preserve"> же условиям.</w:t>
      </w:r>
    </w:p>
    <w:p w:rsidR="009D7DDA" w:rsidRPr="009D7DDA" w:rsidRDefault="009D7DDA" w:rsidP="009D7DDA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7DDA">
        <w:rPr>
          <w:rFonts w:ascii="Arial" w:eastAsia="Times New Roman" w:hAnsi="Arial" w:cs="Arial"/>
          <w:color w:val="333333"/>
          <w:sz w:val="21"/>
          <w:szCs w:val="21"/>
        </w:rPr>
        <w:t>От более подробных разъяснений ведомство "открестилось", указав, что, поскольку закон о бухучете не относится к налоговому законодательству, Минфин не обязан давать разъяснения по данному закону.</w:t>
      </w:r>
    </w:p>
    <w:p w:rsidR="009D7DDA" w:rsidRPr="009D7DDA" w:rsidRDefault="009D7DDA" w:rsidP="009D7DDA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7DDA">
        <w:rPr>
          <w:rFonts w:ascii="Arial" w:eastAsia="Times New Roman" w:hAnsi="Arial" w:cs="Arial"/>
          <w:color w:val="333333"/>
          <w:sz w:val="21"/>
          <w:szCs w:val="21"/>
        </w:rPr>
        <w:t>Также Минфин напомнил, что требования к образованию и опыту практической работы для работников в области бухгалтерского учета установлены профессиональным стандартом "Бухгалтер", утвержденным приказом Минтруда от 22.12.2014 N 1061н.</w:t>
      </w:r>
    </w:p>
    <w:p w:rsidR="00477228" w:rsidRDefault="00477228" w:rsidP="009D7DDA">
      <w:pPr>
        <w:ind w:firstLine="567"/>
        <w:jc w:val="both"/>
      </w:pPr>
    </w:p>
    <w:sectPr w:rsidR="0047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424"/>
    <w:multiLevelType w:val="multilevel"/>
    <w:tmpl w:val="FA70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DDA"/>
    <w:rsid w:val="00477228"/>
    <w:rsid w:val="009D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DDA"/>
  </w:style>
  <w:style w:type="character" w:styleId="a4">
    <w:name w:val="Hyperlink"/>
    <w:basedOn w:val="a0"/>
    <w:uiPriority w:val="99"/>
    <w:semiHidden/>
    <w:unhideWhenUsed/>
    <w:rsid w:val="009D7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terms/accounting/glavnyy_bukhgal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rud/trudovoy_dogovor.html" TargetMode="External"/><Relationship Id="rId5" Type="http://schemas.openxmlformats.org/officeDocument/2006/relationships/hyperlink" Target="https://www.audit-it.ru/law/account/9130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2017-07-10T04:06:00Z</dcterms:created>
  <dcterms:modified xsi:type="dcterms:W3CDTF">2017-07-10T04:06:00Z</dcterms:modified>
</cp:coreProperties>
</file>